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FC0" w:rsidRPr="00B74382" w:rsidRDefault="00B53FC0" w:rsidP="00B74382">
      <w:pPr>
        <w:pStyle w:val="a3"/>
        <w:shd w:val="clear" w:color="auto" w:fill="FFFFFF"/>
        <w:spacing w:before="0" w:beforeAutospacing="0" w:after="113" w:afterAutospacing="0"/>
        <w:jc w:val="center"/>
        <w:rPr>
          <w:rFonts w:ascii="RobotoRegular" w:hAnsi="RobotoRegular"/>
          <w:b/>
          <w:bCs/>
          <w:color w:val="333333"/>
          <w:sz w:val="21"/>
          <w:szCs w:val="21"/>
        </w:rPr>
      </w:pPr>
      <w:r w:rsidRPr="00B74382">
        <w:rPr>
          <w:rFonts w:ascii="RobotoBold" w:hAnsi="RobotoBold"/>
          <w:b/>
          <w:bCs/>
          <w:color w:val="333333"/>
          <w:sz w:val="21"/>
          <w:szCs w:val="21"/>
        </w:rPr>
        <w:t>НПА</w:t>
      </w:r>
    </w:p>
    <w:p w:rsidR="00B53FC0" w:rsidRDefault="00B53FC0" w:rsidP="00B74382">
      <w:pPr>
        <w:pStyle w:val="a3"/>
        <w:shd w:val="clear" w:color="auto" w:fill="FFFFFF"/>
        <w:spacing w:before="0" w:beforeAutospacing="0" w:after="113" w:afterAutospacing="0"/>
        <w:jc w:val="center"/>
        <w:rPr>
          <w:rFonts w:ascii="RobotoRegular" w:hAnsi="RobotoRegular"/>
          <w:color w:val="333333"/>
          <w:sz w:val="21"/>
          <w:szCs w:val="21"/>
        </w:rPr>
      </w:pPr>
      <w:r>
        <w:rPr>
          <w:rFonts w:ascii="RobotoRegular" w:hAnsi="RobotoRegular"/>
          <w:color w:val="333333"/>
          <w:sz w:val="21"/>
          <w:szCs w:val="21"/>
        </w:rPr>
        <w:t>Закон Белгородской области от 08.11.2011года № 74</w:t>
      </w:r>
    </w:p>
    <w:p w:rsidR="00B53FC0" w:rsidRDefault="00B53FC0" w:rsidP="00B74382">
      <w:pPr>
        <w:pStyle w:val="a3"/>
        <w:shd w:val="clear" w:color="auto" w:fill="FFFFFF"/>
        <w:spacing w:before="0" w:beforeAutospacing="0" w:after="113" w:afterAutospacing="0"/>
        <w:jc w:val="center"/>
        <w:rPr>
          <w:rFonts w:ascii="RobotoRegular" w:hAnsi="RobotoRegular"/>
          <w:color w:val="333333"/>
          <w:sz w:val="21"/>
          <w:szCs w:val="21"/>
        </w:rPr>
      </w:pPr>
      <w:r>
        <w:rPr>
          <w:rFonts w:ascii="RobotoRegular" w:hAnsi="RobotoRegular"/>
          <w:color w:val="333333"/>
          <w:sz w:val="21"/>
          <w:szCs w:val="21"/>
        </w:rPr>
        <w:t>«О предоставлении земельных участков многодетным семьям»</w:t>
      </w:r>
    </w:p>
    <w:p w:rsidR="00B74382" w:rsidRPr="00B74382" w:rsidRDefault="00B74382" w:rsidP="00B74382">
      <w:pPr>
        <w:pStyle w:val="a3"/>
        <w:shd w:val="clear" w:color="auto" w:fill="FFFFFF"/>
        <w:spacing w:before="0" w:beforeAutospacing="0" w:after="113" w:afterAutospacing="0"/>
        <w:jc w:val="center"/>
        <w:rPr>
          <w:rFonts w:ascii="RobotoBold" w:hAnsi="RobotoBold"/>
          <w:b/>
          <w:bCs/>
          <w:color w:val="333333"/>
          <w:sz w:val="21"/>
          <w:szCs w:val="21"/>
        </w:rPr>
      </w:pPr>
    </w:p>
    <w:p w:rsidR="00B53FC0" w:rsidRPr="00B74382" w:rsidRDefault="00B53FC0" w:rsidP="00B74382">
      <w:pPr>
        <w:pStyle w:val="a3"/>
        <w:shd w:val="clear" w:color="auto" w:fill="FFFFFF"/>
        <w:spacing w:before="0" w:beforeAutospacing="0" w:after="113" w:afterAutospacing="0"/>
        <w:jc w:val="center"/>
        <w:rPr>
          <w:rFonts w:ascii="RobotoRegular" w:hAnsi="RobotoRegular"/>
          <w:b/>
          <w:bCs/>
          <w:color w:val="333333"/>
          <w:sz w:val="21"/>
          <w:szCs w:val="21"/>
        </w:rPr>
      </w:pPr>
      <w:r w:rsidRPr="00B74382">
        <w:rPr>
          <w:rFonts w:ascii="RobotoBold" w:hAnsi="RobotoBold"/>
          <w:b/>
          <w:bCs/>
          <w:color w:val="333333"/>
          <w:sz w:val="21"/>
          <w:szCs w:val="21"/>
        </w:rPr>
        <w:t>Кто имеет право</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Военнослужащие Вооруженных Сил Российской Федерации (в том числе призванные на военную службу по мобилизации), принимающие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военнослужащие органов федеральной службы безопасности, выполняющие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 а также граждане из числа указанных военнослужащих, являющиеся ветеранами боевых действий, имеющие в составе семьи трех и более детей при одновременном соблюдении следующих условий:</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1) военнослужащий и члены его семьи зарегистрированы по месту жительства на территории Белгородской области;</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2) общая площадь жилого помещения на одного члена семьи военнослужащего составляет менее учетной нормы площади жилого помещения, установленной в соответствии с жилищным законодательством.</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w:t>
      </w:r>
    </w:p>
    <w:p w:rsidR="00B53FC0" w:rsidRPr="00B74382" w:rsidRDefault="00B53FC0" w:rsidP="00B74382">
      <w:pPr>
        <w:pStyle w:val="a3"/>
        <w:shd w:val="clear" w:color="auto" w:fill="FFFFFF"/>
        <w:spacing w:before="0" w:beforeAutospacing="0" w:after="113" w:afterAutospacing="0"/>
        <w:jc w:val="center"/>
        <w:rPr>
          <w:rFonts w:ascii="RobotoRegular" w:hAnsi="RobotoRegular"/>
          <w:b/>
          <w:bCs/>
          <w:color w:val="333333"/>
          <w:sz w:val="21"/>
          <w:szCs w:val="21"/>
        </w:rPr>
      </w:pPr>
      <w:r w:rsidRPr="00B74382">
        <w:rPr>
          <w:rFonts w:ascii="RobotoBold" w:hAnsi="RobotoBold"/>
          <w:b/>
          <w:bCs/>
          <w:color w:val="333333"/>
          <w:sz w:val="21"/>
          <w:szCs w:val="21"/>
        </w:rPr>
        <w:t>Предоставляемые документы</w:t>
      </w:r>
      <w:bookmarkStart w:id="0" w:name="_GoBack"/>
      <w:bookmarkEnd w:id="0"/>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паспорта граждан Российской Федерации родителей (усыновителей) и детей, достигших возраста 14 лет, являющихся членами многодетной семьи;</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свидетельство о заключении брака (за исключением случая подачи заявления одиноким родителем (усыновителем);</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свидетельства о рождении (усыновлении, удочерении) каждого из детей (с отметкой о наличии гражданства Российской Федерации или копией вкладыша о гражданстве Российской Федерации);</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документы, подтверждающие регистрацию по месту жительства каждого из детей, не достигших возраста 14 лет;</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документ, подтверждающий установление инвалидности (представляется в отношении ребенка старше 18 лет, ставшего инвалидом до достижения им возраста 18 лет);</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сведения у органов записи актов гражданского состояния об отсутствии фактов лишения либо ограничения родительских прав, отмены усыновления в отношении детей, являющихся членами многодетной семьи.</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информация воинской части о зачислении гражданина в списки части, выполнении им боевых задач в зоне специальной военной операции.</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w:t>
      </w:r>
    </w:p>
    <w:p w:rsidR="00B53FC0" w:rsidRPr="00B74382" w:rsidRDefault="00B53FC0" w:rsidP="00B74382">
      <w:pPr>
        <w:pStyle w:val="a3"/>
        <w:shd w:val="clear" w:color="auto" w:fill="FFFFFF"/>
        <w:spacing w:before="0" w:beforeAutospacing="0" w:after="113" w:afterAutospacing="0"/>
        <w:jc w:val="center"/>
        <w:rPr>
          <w:rFonts w:ascii="RobotoRegular" w:hAnsi="RobotoRegular"/>
          <w:b/>
          <w:bCs/>
          <w:color w:val="333333"/>
          <w:sz w:val="21"/>
          <w:szCs w:val="21"/>
        </w:rPr>
      </w:pPr>
      <w:r w:rsidRPr="00B74382">
        <w:rPr>
          <w:rFonts w:ascii="RobotoBold" w:hAnsi="RobotoBold"/>
          <w:b/>
          <w:bCs/>
          <w:color w:val="333333"/>
          <w:sz w:val="21"/>
          <w:szCs w:val="21"/>
        </w:rPr>
        <w:t>Куда обратиться с заявлением:</w:t>
      </w:r>
    </w:p>
    <w:p w:rsidR="00B53FC0" w:rsidRPr="00B74382" w:rsidRDefault="00B53FC0" w:rsidP="00B74382">
      <w:pPr>
        <w:pStyle w:val="a3"/>
        <w:shd w:val="clear" w:color="auto" w:fill="FFFFFF"/>
        <w:spacing w:before="0" w:beforeAutospacing="0" w:after="113" w:afterAutospacing="0"/>
        <w:jc w:val="center"/>
        <w:rPr>
          <w:rFonts w:ascii="RobotoRegular" w:hAnsi="RobotoRegular"/>
          <w:b/>
          <w:bCs/>
          <w:color w:val="333333"/>
          <w:sz w:val="21"/>
          <w:szCs w:val="21"/>
        </w:rPr>
      </w:pP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Управление социальной защиты населения администрации Алексеевского муниципального округа – г. Алексеевка, пл. Победы, д. 75, кабинет № 9 (т. 8(47-234)4-43-08).</w:t>
      </w:r>
    </w:p>
    <w:p w:rsidR="00447EF0" w:rsidRDefault="00447EF0"/>
    <w:sectPr w:rsidR="00447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Roboto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E7"/>
    <w:rsid w:val="002A5EC4"/>
    <w:rsid w:val="00447EF0"/>
    <w:rsid w:val="005C7172"/>
    <w:rsid w:val="00B53FC0"/>
    <w:rsid w:val="00B74382"/>
    <w:rsid w:val="00DF6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B063"/>
  <w15:docId w15:val="{B9F4FD42-6FD7-40ED-84C3-67D8F87E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F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2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lucenkovo</cp:lastModifiedBy>
  <cp:revision>2</cp:revision>
  <dcterms:created xsi:type="dcterms:W3CDTF">2024-11-14T15:03:00Z</dcterms:created>
  <dcterms:modified xsi:type="dcterms:W3CDTF">2024-11-14T15:03:00Z</dcterms:modified>
</cp:coreProperties>
</file>